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11BA" w14:textId="77777777" w:rsidR="00F4204E" w:rsidRDefault="00F4204E" w:rsidP="00F4204E">
      <w:pPr>
        <w:spacing w:after="0" w:line="240" w:lineRule="auto"/>
        <w:jc w:val="both"/>
        <w:rPr>
          <w:rFonts w:ascii="Titillium" w:hAnsi="Titillium"/>
          <w:b/>
          <w:bCs/>
        </w:rPr>
      </w:pPr>
      <w:r w:rsidRPr="00237895">
        <w:rPr>
          <w:rFonts w:ascii="Titillium" w:hAnsi="Titillium"/>
          <w:b/>
          <w:bCs/>
        </w:rPr>
        <w:t xml:space="preserve">ANEXO </w:t>
      </w:r>
      <w:r>
        <w:rPr>
          <w:rFonts w:ascii="Titillium" w:hAnsi="Titillium"/>
          <w:b/>
          <w:bCs/>
        </w:rPr>
        <w:t>1</w:t>
      </w:r>
      <w:r w:rsidRPr="00237895">
        <w:rPr>
          <w:rFonts w:ascii="Titillium" w:hAnsi="Titillium"/>
          <w:b/>
          <w:bCs/>
        </w:rPr>
        <w:t xml:space="preserve"> </w:t>
      </w:r>
      <w:r>
        <w:rPr>
          <w:rFonts w:ascii="Titillium" w:hAnsi="Titillium"/>
          <w:b/>
          <w:bCs/>
        </w:rPr>
        <w:t>–</w:t>
      </w:r>
      <w:r w:rsidRPr="00237895">
        <w:rPr>
          <w:rFonts w:ascii="Titillium" w:hAnsi="Titillium"/>
          <w:b/>
          <w:bCs/>
        </w:rPr>
        <w:t xml:space="preserve"> </w:t>
      </w:r>
      <w:r>
        <w:rPr>
          <w:rFonts w:ascii="Titillium" w:hAnsi="Titillium"/>
          <w:b/>
          <w:bCs/>
        </w:rPr>
        <w:t>ORÇAMENTO E AUTO-AVALIAÇÃO DAS FUNCIONALIDADES DA SOLUÇÃO</w:t>
      </w:r>
    </w:p>
    <w:p w14:paraId="3D09E835" w14:textId="77777777" w:rsidR="00F4204E" w:rsidRDefault="00F4204E" w:rsidP="00F4204E">
      <w:pPr>
        <w:spacing w:after="0" w:line="240" w:lineRule="auto"/>
        <w:jc w:val="both"/>
        <w:rPr>
          <w:rFonts w:ascii="Titillium" w:hAnsi="Titillium"/>
          <w:b/>
          <w:bCs/>
        </w:rPr>
      </w:pPr>
    </w:p>
    <w:p w14:paraId="401E18B6" w14:textId="77777777" w:rsidR="00F4204E" w:rsidRPr="00C02313" w:rsidRDefault="00F4204E" w:rsidP="00F4204E">
      <w:pPr>
        <w:spacing w:after="0" w:line="240" w:lineRule="auto"/>
        <w:jc w:val="center"/>
        <w:rPr>
          <w:rFonts w:ascii="Titillium" w:hAnsi="Titillium"/>
          <w:b/>
          <w:bCs/>
          <w:i/>
          <w:iCs/>
        </w:rPr>
      </w:pPr>
      <w:r w:rsidRPr="00C02313">
        <w:rPr>
          <w:rFonts w:ascii="Titillium" w:hAnsi="Titillium"/>
          <w:b/>
          <w:bCs/>
          <w:i/>
          <w:iCs/>
        </w:rPr>
        <w:t>USAR PAPEL TIMBRADO DA EMPRESA</w:t>
      </w:r>
    </w:p>
    <w:p w14:paraId="5DA6E7B1" w14:textId="77777777" w:rsidR="00F4204E" w:rsidRDefault="00F4204E" w:rsidP="00F4204E">
      <w:pPr>
        <w:spacing w:after="0" w:line="240" w:lineRule="auto"/>
        <w:jc w:val="both"/>
        <w:rPr>
          <w:rFonts w:ascii="Titillium" w:hAnsi="Titillium"/>
          <w:b/>
          <w:bCs/>
        </w:rPr>
      </w:pPr>
    </w:p>
    <w:p w14:paraId="67134884" w14:textId="77777777" w:rsidR="00F4204E" w:rsidRDefault="00F4204E" w:rsidP="00F4204E">
      <w:pPr>
        <w:spacing w:after="0" w:line="240" w:lineRule="auto"/>
        <w:jc w:val="both"/>
        <w:rPr>
          <w:rFonts w:ascii="Titillium" w:hAnsi="Titillium"/>
          <w:b/>
          <w:bCs/>
        </w:rPr>
      </w:pPr>
      <w:r>
        <w:rPr>
          <w:rFonts w:ascii="Titillium" w:hAnsi="Titillium"/>
          <w:b/>
          <w:bCs/>
        </w:rPr>
        <w:t>À CONFEDERAÇÃO BRASILEIRA DE REMO</w:t>
      </w:r>
    </w:p>
    <w:p w14:paraId="69D1DA46" w14:textId="77777777" w:rsidR="00F4204E" w:rsidRPr="00882660" w:rsidRDefault="00F4204E" w:rsidP="00F4204E">
      <w:pPr>
        <w:spacing w:after="0" w:line="240" w:lineRule="auto"/>
        <w:jc w:val="both"/>
        <w:rPr>
          <w:rFonts w:ascii="Titillium" w:hAnsi="Titillium"/>
        </w:rPr>
      </w:pPr>
      <w:r w:rsidRPr="00882660">
        <w:rPr>
          <w:rFonts w:ascii="Titillium" w:hAnsi="Titillium"/>
        </w:rPr>
        <w:t>CNPJ: 30.276.570/0001-70</w:t>
      </w:r>
    </w:p>
    <w:p w14:paraId="32AFA5F8" w14:textId="77777777" w:rsidR="00F4204E" w:rsidRPr="00882660" w:rsidRDefault="00F4204E" w:rsidP="00F4204E">
      <w:pPr>
        <w:spacing w:after="0" w:line="240" w:lineRule="auto"/>
        <w:jc w:val="both"/>
        <w:rPr>
          <w:rFonts w:ascii="Titillium" w:hAnsi="Titillium"/>
        </w:rPr>
      </w:pPr>
      <w:r w:rsidRPr="00882660">
        <w:rPr>
          <w:rFonts w:ascii="Titillium" w:hAnsi="Titillium"/>
        </w:rPr>
        <w:t>Endereço: Av. Graça Aranha, 145 - sala 709 - Centro, Rio de Janeiro - RJ, 20030-003</w:t>
      </w:r>
    </w:p>
    <w:p w14:paraId="177EDC36" w14:textId="77777777" w:rsidR="00F4204E" w:rsidRDefault="00F4204E" w:rsidP="00F4204E">
      <w:pPr>
        <w:spacing w:after="0" w:line="240" w:lineRule="auto"/>
        <w:jc w:val="both"/>
        <w:rPr>
          <w:rFonts w:ascii="Titillium" w:hAnsi="Titillium"/>
          <w:b/>
          <w:bCs/>
        </w:rPr>
      </w:pPr>
    </w:p>
    <w:p w14:paraId="78D2B12C" w14:textId="77777777" w:rsidR="00F4204E" w:rsidRDefault="00F4204E" w:rsidP="00F4204E">
      <w:pPr>
        <w:spacing w:after="0" w:line="240" w:lineRule="auto"/>
        <w:jc w:val="both"/>
        <w:rPr>
          <w:rFonts w:ascii="Titillium" w:hAnsi="Titillium"/>
          <w:b/>
          <w:bCs/>
        </w:rPr>
      </w:pPr>
      <w:r>
        <w:rPr>
          <w:rFonts w:ascii="Titillium" w:hAnsi="Titillium"/>
          <w:b/>
          <w:bCs/>
        </w:rPr>
        <w:t>REF. ORÇAMENTO DE PLATAFORMA DE GESTÃO ESPORTIVA DO REMO BRASILEIRO</w:t>
      </w:r>
    </w:p>
    <w:p w14:paraId="45E3CF9B" w14:textId="77777777" w:rsidR="00F4204E" w:rsidRDefault="00F4204E" w:rsidP="00F4204E">
      <w:pPr>
        <w:spacing w:after="0" w:line="240" w:lineRule="auto"/>
        <w:jc w:val="both"/>
        <w:rPr>
          <w:rFonts w:ascii="Titillium" w:hAnsi="Titillium"/>
          <w:b/>
          <w:bCs/>
        </w:rPr>
      </w:pPr>
    </w:p>
    <w:p w14:paraId="4FA0596E" w14:textId="77777777" w:rsidR="00F4204E" w:rsidRPr="00882660" w:rsidRDefault="00F4204E" w:rsidP="00F4204E">
      <w:pPr>
        <w:spacing w:after="0" w:line="240" w:lineRule="auto"/>
        <w:jc w:val="both"/>
        <w:rPr>
          <w:rFonts w:ascii="Titillium" w:hAnsi="Titillium"/>
        </w:rPr>
      </w:pPr>
      <w:r w:rsidRPr="00882660">
        <w:rPr>
          <w:rFonts w:ascii="Titillium" w:hAnsi="Titillium"/>
        </w:rPr>
        <w:t>A ferramenta a ser apresentada possui compatibilidade imediata com os itens assinalados abaixo com um “X</w:t>
      </w:r>
      <w:proofErr w:type="gramStart"/>
      <w:r w:rsidRPr="00882660">
        <w:rPr>
          <w:rFonts w:ascii="Titillium" w:hAnsi="Titillium"/>
        </w:rPr>
        <w:t>” ,</w:t>
      </w:r>
      <w:proofErr w:type="gramEnd"/>
      <w:r w:rsidRPr="00882660">
        <w:rPr>
          <w:rFonts w:ascii="Titillium" w:hAnsi="Titillium"/>
        </w:rPr>
        <w:t xml:space="preserve"> de acordo com o termo de </w:t>
      </w:r>
      <w:proofErr w:type="spellStart"/>
      <w:proofErr w:type="gramStart"/>
      <w:r w:rsidRPr="00882660">
        <w:rPr>
          <w:rFonts w:ascii="Titillium" w:hAnsi="Titillium"/>
        </w:rPr>
        <w:t>referencia</w:t>
      </w:r>
      <w:proofErr w:type="spellEnd"/>
      <w:proofErr w:type="gramEnd"/>
      <w:r w:rsidRPr="00882660">
        <w:rPr>
          <w:rFonts w:ascii="Titillium" w:hAnsi="Titillium"/>
        </w:rPr>
        <w:t xml:space="preserve"> para a contratação da solução:</w:t>
      </w:r>
    </w:p>
    <w:p w14:paraId="5593AEEC" w14:textId="77777777" w:rsidR="00F4204E" w:rsidRDefault="00F4204E" w:rsidP="00F4204E">
      <w:pPr>
        <w:spacing w:after="0" w:line="240" w:lineRule="auto"/>
        <w:jc w:val="both"/>
        <w:rPr>
          <w:rFonts w:ascii="Titillium" w:hAnsi="Titillium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66"/>
        <w:gridCol w:w="1428"/>
      </w:tblGrid>
      <w:tr w:rsidR="00F4204E" w:rsidRPr="00996F36" w14:paraId="77DBF4C1" w14:textId="77777777" w:rsidTr="00DB3B11">
        <w:tc>
          <w:tcPr>
            <w:tcW w:w="7434" w:type="dxa"/>
            <w:shd w:val="clear" w:color="auto" w:fill="BFBFBF" w:themeFill="background1" w:themeFillShade="BF"/>
          </w:tcPr>
          <w:p w14:paraId="1DAA6509" w14:textId="77777777" w:rsidR="00F4204E" w:rsidRPr="00996F36" w:rsidRDefault="00F4204E" w:rsidP="00DB3B11">
            <w:pPr>
              <w:jc w:val="both"/>
              <w:rPr>
                <w:rFonts w:ascii="Titillium" w:hAnsi="Titillium"/>
                <w:b/>
                <w:bCs/>
              </w:rPr>
            </w:pPr>
            <w:r w:rsidRPr="00996F36">
              <w:rPr>
                <w:rFonts w:ascii="Titillium" w:hAnsi="Titillium"/>
                <w:b/>
                <w:bCs/>
              </w:rPr>
              <w:t>3.1 Gestão de Atletas e stakeholders;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2CF2C0D2" w14:textId="77777777" w:rsidR="00F4204E" w:rsidRPr="00996F36" w:rsidRDefault="00F4204E" w:rsidP="00DB3B11">
            <w:pPr>
              <w:jc w:val="both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ATENDE?</w:t>
            </w:r>
          </w:p>
        </w:tc>
      </w:tr>
      <w:tr w:rsidR="00F4204E" w:rsidRPr="00996F36" w14:paraId="0C014E81" w14:textId="77777777" w:rsidTr="00DB3B11">
        <w:tc>
          <w:tcPr>
            <w:tcW w:w="7434" w:type="dxa"/>
          </w:tcPr>
          <w:p w14:paraId="4C49805B" w14:textId="77777777" w:rsidR="00F4204E" w:rsidRPr="00996F36" w:rsidRDefault="00F4204E" w:rsidP="00F4204E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tillium" w:hAnsi="Titillium"/>
                <w:b/>
                <w:bCs/>
              </w:rPr>
            </w:pPr>
            <w:r w:rsidRPr="00996F36">
              <w:rPr>
                <w:rFonts w:ascii="Titillium" w:hAnsi="Titillium"/>
                <w:b/>
                <w:bCs/>
              </w:rPr>
              <w:t>Criação de áreas para Atletas, treinadores, Clubes, Federações e Confederação;</w:t>
            </w:r>
          </w:p>
        </w:tc>
        <w:tc>
          <w:tcPr>
            <w:tcW w:w="1456" w:type="dxa"/>
          </w:tcPr>
          <w:p w14:paraId="3ACE00CB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  <w:b/>
                <w:bCs/>
              </w:rPr>
            </w:pPr>
          </w:p>
        </w:tc>
      </w:tr>
      <w:tr w:rsidR="00F4204E" w:rsidRPr="00996F36" w14:paraId="7BAC0FA8" w14:textId="77777777" w:rsidTr="00DB3B11">
        <w:tc>
          <w:tcPr>
            <w:tcW w:w="7434" w:type="dxa"/>
          </w:tcPr>
          <w:p w14:paraId="292D6DC7" w14:textId="77777777" w:rsidR="00F4204E" w:rsidRPr="00996F36" w:rsidRDefault="00F4204E" w:rsidP="00F4204E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tillium" w:hAnsi="Titillium"/>
                <w:b/>
                <w:bCs/>
              </w:rPr>
            </w:pPr>
            <w:r w:rsidRPr="00996F36">
              <w:rPr>
                <w:rFonts w:ascii="Titillium" w:hAnsi="Titillium"/>
                <w:b/>
                <w:bCs/>
              </w:rPr>
              <w:t>Criação de área para arbitragem;</w:t>
            </w:r>
          </w:p>
        </w:tc>
        <w:tc>
          <w:tcPr>
            <w:tcW w:w="1456" w:type="dxa"/>
          </w:tcPr>
          <w:p w14:paraId="4ED926A3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  <w:b/>
                <w:bCs/>
              </w:rPr>
            </w:pPr>
          </w:p>
        </w:tc>
      </w:tr>
      <w:tr w:rsidR="00F4204E" w:rsidRPr="00996F36" w14:paraId="4615C604" w14:textId="77777777" w:rsidTr="00DB3B11">
        <w:tc>
          <w:tcPr>
            <w:tcW w:w="7434" w:type="dxa"/>
          </w:tcPr>
          <w:p w14:paraId="12E19513" w14:textId="77777777" w:rsidR="00F4204E" w:rsidRPr="00996F36" w:rsidRDefault="00F4204E" w:rsidP="00F420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 xml:space="preserve">Cadastro, filiação e renovação online, </w:t>
            </w:r>
            <w:r>
              <w:rPr>
                <w:rFonts w:ascii="Titillium" w:hAnsi="Titillium"/>
              </w:rPr>
              <w:t>d</w:t>
            </w:r>
            <w:r w:rsidRPr="00996F36">
              <w:rPr>
                <w:rFonts w:ascii="Titillium" w:hAnsi="Titillium"/>
              </w:rPr>
              <w:t>e acordo com o pacto confederativo;</w:t>
            </w:r>
          </w:p>
        </w:tc>
        <w:tc>
          <w:tcPr>
            <w:tcW w:w="1456" w:type="dxa"/>
          </w:tcPr>
          <w:p w14:paraId="7320A2E3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74FAEE02" w14:textId="77777777" w:rsidTr="00DB3B11">
        <w:tc>
          <w:tcPr>
            <w:tcW w:w="7434" w:type="dxa"/>
          </w:tcPr>
          <w:p w14:paraId="4C5A627E" w14:textId="77777777" w:rsidR="00F4204E" w:rsidRPr="00996F36" w:rsidRDefault="00F4204E" w:rsidP="00F420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Validação de dados cadastrais com a Receita Federal (CPF/CNPJ).</w:t>
            </w:r>
          </w:p>
        </w:tc>
        <w:tc>
          <w:tcPr>
            <w:tcW w:w="1456" w:type="dxa"/>
          </w:tcPr>
          <w:p w14:paraId="428149D9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1ED949F2" w14:textId="77777777" w:rsidTr="00DB3B11">
        <w:tc>
          <w:tcPr>
            <w:tcW w:w="7434" w:type="dxa"/>
          </w:tcPr>
          <w:p w14:paraId="5989BD4F" w14:textId="77777777" w:rsidR="00F4204E" w:rsidRPr="00996F36" w:rsidRDefault="00F4204E" w:rsidP="00F420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 xml:space="preserve">Armazenamento de documentação digital (RG, declaração </w:t>
            </w:r>
            <w:proofErr w:type="gramStart"/>
            <w:r w:rsidRPr="00996F36">
              <w:rPr>
                <w:rFonts w:ascii="Titillium" w:hAnsi="Titillium"/>
              </w:rPr>
              <w:t>médica, etc.</w:t>
            </w:r>
            <w:proofErr w:type="gramEnd"/>
            <w:r w:rsidRPr="00996F36">
              <w:rPr>
                <w:rFonts w:ascii="Titillium" w:hAnsi="Titillium"/>
              </w:rPr>
              <w:t>).</w:t>
            </w:r>
          </w:p>
        </w:tc>
        <w:tc>
          <w:tcPr>
            <w:tcW w:w="1456" w:type="dxa"/>
          </w:tcPr>
          <w:p w14:paraId="14305FD6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22DA995C" w14:textId="77777777" w:rsidTr="00DB3B11">
        <w:tc>
          <w:tcPr>
            <w:tcW w:w="7434" w:type="dxa"/>
          </w:tcPr>
          <w:p w14:paraId="10F67B0B" w14:textId="77777777" w:rsidR="00F4204E" w:rsidRPr="00996F36" w:rsidRDefault="00F4204E" w:rsidP="00F420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Histórico esportivo e estatísticas individuais.</w:t>
            </w:r>
          </w:p>
        </w:tc>
        <w:tc>
          <w:tcPr>
            <w:tcW w:w="1456" w:type="dxa"/>
          </w:tcPr>
          <w:p w14:paraId="5ADB1C54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6DADD944" w14:textId="77777777" w:rsidTr="00DB3B11">
        <w:tc>
          <w:tcPr>
            <w:tcW w:w="7434" w:type="dxa"/>
          </w:tcPr>
          <w:p w14:paraId="373A25E8" w14:textId="77777777" w:rsidR="00F4204E" w:rsidRPr="00996F36" w:rsidRDefault="00F4204E" w:rsidP="00F420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Canal de mensagens interno entre atletas, clubes e federações.</w:t>
            </w:r>
          </w:p>
        </w:tc>
        <w:tc>
          <w:tcPr>
            <w:tcW w:w="1456" w:type="dxa"/>
          </w:tcPr>
          <w:p w14:paraId="4CCCF3B2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364216D3" w14:textId="77777777" w:rsidTr="00DB3B11">
        <w:tc>
          <w:tcPr>
            <w:tcW w:w="7434" w:type="dxa"/>
          </w:tcPr>
          <w:p w14:paraId="4174EB3B" w14:textId="77777777" w:rsidR="00F4204E" w:rsidRPr="00996F36" w:rsidRDefault="00F4204E" w:rsidP="00F420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Envio de Documentações periódicas (Atestados médicos, eletros)</w:t>
            </w:r>
          </w:p>
        </w:tc>
        <w:tc>
          <w:tcPr>
            <w:tcW w:w="1456" w:type="dxa"/>
          </w:tcPr>
          <w:p w14:paraId="3D711512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2B249977" w14:textId="77777777" w:rsidTr="00DB3B11">
        <w:tc>
          <w:tcPr>
            <w:tcW w:w="7434" w:type="dxa"/>
          </w:tcPr>
          <w:p w14:paraId="20727AD7" w14:textId="77777777" w:rsidR="00F4204E" w:rsidRPr="00996F36" w:rsidRDefault="00F4204E" w:rsidP="00F4204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 xml:space="preserve">Envio de avaliações de </w:t>
            </w:r>
            <w:proofErr w:type="spellStart"/>
            <w:r w:rsidRPr="00996F36">
              <w:rPr>
                <w:rFonts w:ascii="Titillium" w:hAnsi="Titillium"/>
              </w:rPr>
              <w:t>remoergometros</w:t>
            </w:r>
            <w:proofErr w:type="spellEnd"/>
            <w:r w:rsidRPr="00996F36">
              <w:rPr>
                <w:rFonts w:ascii="Titillium" w:hAnsi="Titillium"/>
              </w:rPr>
              <w:t xml:space="preserve"> pelos atletas;</w:t>
            </w:r>
          </w:p>
        </w:tc>
        <w:tc>
          <w:tcPr>
            <w:tcW w:w="1456" w:type="dxa"/>
          </w:tcPr>
          <w:p w14:paraId="62DF49F1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6527583A" w14:textId="77777777" w:rsidTr="00DB3B11">
        <w:tc>
          <w:tcPr>
            <w:tcW w:w="7434" w:type="dxa"/>
          </w:tcPr>
          <w:p w14:paraId="362027D3" w14:textId="77777777" w:rsidR="00F4204E" w:rsidRPr="00996F36" w:rsidRDefault="00F4204E" w:rsidP="00F420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Acesso restrito por perfil (Confederação, federação, clube, atleta).</w:t>
            </w:r>
          </w:p>
        </w:tc>
        <w:tc>
          <w:tcPr>
            <w:tcW w:w="1456" w:type="dxa"/>
          </w:tcPr>
          <w:p w14:paraId="0AA488F8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62DBA9F0" w14:textId="77777777" w:rsidTr="00DB3B11">
        <w:tc>
          <w:tcPr>
            <w:tcW w:w="7434" w:type="dxa"/>
          </w:tcPr>
          <w:p w14:paraId="31708383" w14:textId="77777777" w:rsidR="00F4204E" w:rsidRPr="00996F36" w:rsidRDefault="00F4204E" w:rsidP="00F420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Ferramenta de Controle de Lesões, com cadastro de CID</w:t>
            </w:r>
          </w:p>
        </w:tc>
        <w:tc>
          <w:tcPr>
            <w:tcW w:w="1456" w:type="dxa"/>
          </w:tcPr>
          <w:p w14:paraId="4471F548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293859F7" w14:textId="77777777" w:rsidTr="00DB3B11">
        <w:tc>
          <w:tcPr>
            <w:tcW w:w="7434" w:type="dxa"/>
          </w:tcPr>
          <w:p w14:paraId="201353C6" w14:textId="77777777" w:rsidR="00F4204E" w:rsidRPr="00996F36" w:rsidRDefault="00F4204E" w:rsidP="00F420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Gestão de seleções nacionais e estaduais</w:t>
            </w:r>
          </w:p>
        </w:tc>
        <w:tc>
          <w:tcPr>
            <w:tcW w:w="1456" w:type="dxa"/>
          </w:tcPr>
          <w:p w14:paraId="2081A8E0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7129DF57" w14:textId="77777777" w:rsidTr="00DB3B11">
        <w:tc>
          <w:tcPr>
            <w:tcW w:w="7434" w:type="dxa"/>
            <w:tcBorders>
              <w:bottom w:val="single" w:sz="4" w:space="0" w:color="auto"/>
            </w:tcBorders>
          </w:tcPr>
          <w:p w14:paraId="71E0223B" w14:textId="77777777" w:rsidR="00F4204E" w:rsidRPr="00996F36" w:rsidRDefault="00F4204E" w:rsidP="00F420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Emissão de Carteirinha;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3E8E38E8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393AC462" w14:textId="77777777" w:rsidTr="00DB3B11">
        <w:tc>
          <w:tcPr>
            <w:tcW w:w="7434" w:type="dxa"/>
            <w:shd w:val="clear" w:color="auto" w:fill="D9D9D9" w:themeFill="background1" w:themeFillShade="D9"/>
          </w:tcPr>
          <w:p w14:paraId="6E69FC3F" w14:textId="77777777" w:rsidR="00F4204E" w:rsidRPr="00996F36" w:rsidRDefault="00F4204E" w:rsidP="00DB3B11">
            <w:pPr>
              <w:jc w:val="both"/>
              <w:rPr>
                <w:rFonts w:ascii="Titillium" w:hAnsi="Titillium"/>
                <w:b/>
                <w:bCs/>
              </w:rPr>
            </w:pPr>
            <w:r w:rsidRPr="00996F36">
              <w:rPr>
                <w:rFonts w:ascii="Titillium" w:hAnsi="Titillium"/>
                <w:b/>
                <w:bCs/>
              </w:rPr>
              <w:t>3.2. Gestão de Recebimentos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72FEEF99" w14:textId="77777777" w:rsidR="00F4204E" w:rsidRPr="00996F36" w:rsidRDefault="00F4204E" w:rsidP="00DB3B11">
            <w:pPr>
              <w:jc w:val="both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ATENDE?</w:t>
            </w:r>
          </w:p>
        </w:tc>
      </w:tr>
      <w:tr w:rsidR="00F4204E" w:rsidRPr="00996F36" w14:paraId="39307B26" w14:textId="77777777" w:rsidTr="00DB3B11">
        <w:tc>
          <w:tcPr>
            <w:tcW w:w="7434" w:type="dxa"/>
          </w:tcPr>
          <w:p w14:paraId="1E8CAA90" w14:textId="77777777" w:rsidR="00F4204E" w:rsidRPr="00996F36" w:rsidRDefault="00F4204E" w:rsidP="00F4204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 xml:space="preserve">Criação de centro de custos individuais de clubes, Federações e Confederações, que poderão fazer uso do sistema para a cobrança de valores como (anuidades, inscrição em campeonatos, aluguel de </w:t>
            </w:r>
            <w:r w:rsidRPr="00996F36">
              <w:rPr>
                <w:rFonts w:ascii="Titillium" w:hAnsi="Titillium"/>
              </w:rPr>
              <w:lastRenderedPageBreak/>
              <w:t>embarcações, pagamentos diversos) e gerenciarem suas receitas com independência;</w:t>
            </w:r>
          </w:p>
        </w:tc>
        <w:tc>
          <w:tcPr>
            <w:tcW w:w="1456" w:type="dxa"/>
          </w:tcPr>
          <w:p w14:paraId="15780A51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2FEA7632" w14:textId="77777777" w:rsidTr="00DB3B11">
        <w:tc>
          <w:tcPr>
            <w:tcW w:w="7434" w:type="dxa"/>
          </w:tcPr>
          <w:p w14:paraId="13F143B7" w14:textId="77777777" w:rsidR="00F4204E" w:rsidRPr="00996F36" w:rsidRDefault="00F4204E" w:rsidP="00F4204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Possibilidade de criação de um split de pagamentos, direcionando parte de pagamento para entidades diferentes;</w:t>
            </w:r>
          </w:p>
        </w:tc>
        <w:tc>
          <w:tcPr>
            <w:tcW w:w="1456" w:type="dxa"/>
          </w:tcPr>
          <w:p w14:paraId="29BF6DF7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743C0B6F" w14:textId="77777777" w:rsidTr="00DB3B11">
        <w:tc>
          <w:tcPr>
            <w:tcW w:w="7434" w:type="dxa"/>
            <w:tcBorders>
              <w:bottom w:val="single" w:sz="4" w:space="0" w:color="auto"/>
            </w:tcBorders>
          </w:tcPr>
          <w:p w14:paraId="50C5315B" w14:textId="77777777" w:rsidR="00F4204E" w:rsidRPr="00996F36" w:rsidRDefault="00F4204E" w:rsidP="00DB3B11">
            <w:pPr>
              <w:jc w:val="both"/>
              <w:rPr>
                <w:rFonts w:ascii="Titillium" w:hAnsi="Titillium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38035E0E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64873B78" w14:textId="77777777" w:rsidTr="00DB3B11">
        <w:tc>
          <w:tcPr>
            <w:tcW w:w="7434" w:type="dxa"/>
            <w:shd w:val="clear" w:color="auto" w:fill="D9D9D9" w:themeFill="background1" w:themeFillShade="D9"/>
          </w:tcPr>
          <w:p w14:paraId="3E8FA50C" w14:textId="77777777" w:rsidR="00F4204E" w:rsidRPr="00996F36" w:rsidRDefault="00F4204E" w:rsidP="00DB3B11">
            <w:pPr>
              <w:jc w:val="both"/>
              <w:rPr>
                <w:rFonts w:ascii="Titillium" w:hAnsi="Titillium"/>
                <w:b/>
                <w:bCs/>
              </w:rPr>
            </w:pPr>
            <w:r w:rsidRPr="00996F36">
              <w:rPr>
                <w:rFonts w:ascii="Titillium" w:hAnsi="Titillium"/>
                <w:b/>
                <w:bCs/>
              </w:rPr>
              <w:t>3.3 Gestão de Competições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27BBA3CA" w14:textId="77777777" w:rsidR="00F4204E" w:rsidRPr="00996F36" w:rsidRDefault="00F4204E" w:rsidP="00DB3B11">
            <w:pPr>
              <w:jc w:val="both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ATENDE?</w:t>
            </w:r>
          </w:p>
        </w:tc>
      </w:tr>
      <w:tr w:rsidR="00F4204E" w:rsidRPr="00996F36" w14:paraId="2BBD9A54" w14:textId="77777777" w:rsidTr="00DB3B11">
        <w:tc>
          <w:tcPr>
            <w:tcW w:w="7434" w:type="dxa"/>
          </w:tcPr>
          <w:p w14:paraId="3301688D" w14:textId="77777777" w:rsidR="00F4204E" w:rsidRPr="00996F36" w:rsidRDefault="00F4204E" w:rsidP="00F420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Inscrição online personalizada por tipo de competição.</w:t>
            </w:r>
          </w:p>
        </w:tc>
        <w:tc>
          <w:tcPr>
            <w:tcW w:w="1456" w:type="dxa"/>
          </w:tcPr>
          <w:p w14:paraId="5814A9A9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06C5CCAD" w14:textId="77777777" w:rsidTr="00DB3B11">
        <w:tc>
          <w:tcPr>
            <w:tcW w:w="7434" w:type="dxa"/>
          </w:tcPr>
          <w:p w14:paraId="23D64B81" w14:textId="77777777" w:rsidR="00F4204E" w:rsidRPr="00996F36" w:rsidRDefault="00F4204E" w:rsidP="00F420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Sumulas digitais dos campeonatos para uso das Federações e Confederação;</w:t>
            </w:r>
          </w:p>
        </w:tc>
        <w:tc>
          <w:tcPr>
            <w:tcW w:w="1456" w:type="dxa"/>
          </w:tcPr>
          <w:p w14:paraId="6F1B562C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2E1420F0" w14:textId="77777777" w:rsidTr="00DB3B11">
        <w:tc>
          <w:tcPr>
            <w:tcW w:w="7434" w:type="dxa"/>
          </w:tcPr>
          <w:p w14:paraId="6D49B188" w14:textId="77777777" w:rsidR="00F4204E" w:rsidRPr="00996F36" w:rsidRDefault="00F4204E" w:rsidP="00F420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Integração com sistema de cronometragem eletrônica;</w:t>
            </w:r>
          </w:p>
        </w:tc>
        <w:tc>
          <w:tcPr>
            <w:tcW w:w="1456" w:type="dxa"/>
          </w:tcPr>
          <w:p w14:paraId="3F2CA073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11693FBA" w14:textId="77777777" w:rsidTr="00DB3B11">
        <w:tc>
          <w:tcPr>
            <w:tcW w:w="7434" w:type="dxa"/>
          </w:tcPr>
          <w:p w14:paraId="554063C3" w14:textId="77777777" w:rsidR="00F4204E" w:rsidRPr="00996F36" w:rsidRDefault="00F4204E" w:rsidP="00F420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Módulo de Credenciamento;</w:t>
            </w:r>
          </w:p>
        </w:tc>
        <w:tc>
          <w:tcPr>
            <w:tcW w:w="1456" w:type="dxa"/>
          </w:tcPr>
          <w:p w14:paraId="2240221C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28137A0C" w14:textId="77777777" w:rsidTr="00DB3B11">
        <w:tc>
          <w:tcPr>
            <w:tcW w:w="7434" w:type="dxa"/>
          </w:tcPr>
          <w:p w14:paraId="0DBE74DA" w14:textId="77777777" w:rsidR="00F4204E" w:rsidRPr="00996F36" w:rsidRDefault="00F4204E" w:rsidP="00F420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Dashboard de gestão</w:t>
            </w:r>
          </w:p>
        </w:tc>
        <w:tc>
          <w:tcPr>
            <w:tcW w:w="1456" w:type="dxa"/>
          </w:tcPr>
          <w:p w14:paraId="5E957E19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3723DF9D" w14:textId="77777777" w:rsidTr="00DB3B11">
        <w:tc>
          <w:tcPr>
            <w:tcW w:w="7434" w:type="dxa"/>
          </w:tcPr>
          <w:p w14:paraId="0E3DE698" w14:textId="77777777" w:rsidR="00F4204E" w:rsidRPr="00996F36" w:rsidRDefault="00F4204E" w:rsidP="00F4204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Resultados e relatórios de desempenho. Emissão de relatórios por estado, clube, categoria e evento.</w:t>
            </w:r>
          </w:p>
        </w:tc>
        <w:tc>
          <w:tcPr>
            <w:tcW w:w="1456" w:type="dxa"/>
          </w:tcPr>
          <w:p w14:paraId="77C40C96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1B579924" w14:textId="77777777" w:rsidTr="00DB3B11">
        <w:tc>
          <w:tcPr>
            <w:tcW w:w="7434" w:type="dxa"/>
          </w:tcPr>
          <w:p w14:paraId="76464D18" w14:textId="77777777" w:rsidR="00F4204E" w:rsidRPr="00996F36" w:rsidRDefault="00F4204E" w:rsidP="00F4204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Painel analítico com gráficos e exportação de dados.</w:t>
            </w:r>
          </w:p>
        </w:tc>
        <w:tc>
          <w:tcPr>
            <w:tcW w:w="1456" w:type="dxa"/>
          </w:tcPr>
          <w:p w14:paraId="0208815E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60BA9086" w14:textId="77777777" w:rsidTr="00DB3B11">
        <w:tc>
          <w:tcPr>
            <w:tcW w:w="7434" w:type="dxa"/>
            <w:tcBorders>
              <w:bottom w:val="single" w:sz="4" w:space="0" w:color="auto"/>
            </w:tcBorders>
          </w:tcPr>
          <w:p w14:paraId="0A9AB115" w14:textId="77777777" w:rsidR="00F4204E" w:rsidRPr="00996F36" w:rsidRDefault="00F4204E" w:rsidP="00F4204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Produção do Relatório do Bolsa Atleta automaticamente, com os dados de Resultados.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B88232E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7675E263" w14:textId="77777777" w:rsidTr="00DB3B11">
        <w:tc>
          <w:tcPr>
            <w:tcW w:w="7434" w:type="dxa"/>
            <w:shd w:val="clear" w:color="auto" w:fill="D9D9D9" w:themeFill="background1" w:themeFillShade="D9"/>
          </w:tcPr>
          <w:p w14:paraId="70474569" w14:textId="77777777" w:rsidR="00F4204E" w:rsidRPr="00996F36" w:rsidRDefault="00F4204E" w:rsidP="00DB3B11">
            <w:pPr>
              <w:jc w:val="both"/>
              <w:rPr>
                <w:rFonts w:ascii="Titillium" w:hAnsi="Titillium"/>
                <w:b/>
                <w:bCs/>
              </w:rPr>
            </w:pPr>
            <w:r w:rsidRPr="00996F36">
              <w:rPr>
                <w:rFonts w:ascii="Titillium" w:hAnsi="Titillium"/>
                <w:b/>
                <w:bCs/>
              </w:rPr>
              <w:t>3.4 Gestão Financeira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793EBA16" w14:textId="77777777" w:rsidR="00F4204E" w:rsidRPr="00996F36" w:rsidRDefault="00F4204E" w:rsidP="00DB3B11">
            <w:pPr>
              <w:jc w:val="both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ATENDE?</w:t>
            </w:r>
          </w:p>
        </w:tc>
      </w:tr>
      <w:tr w:rsidR="00F4204E" w:rsidRPr="00996F36" w14:paraId="5E4277B1" w14:textId="77777777" w:rsidTr="00DB3B11">
        <w:tc>
          <w:tcPr>
            <w:tcW w:w="7434" w:type="dxa"/>
          </w:tcPr>
          <w:p w14:paraId="237AEEAC" w14:textId="77777777" w:rsidR="00F4204E" w:rsidRPr="00996F36" w:rsidRDefault="00F4204E" w:rsidP="00F4204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Controle de taxas de filiação, inscrições e mensalidades.</w:t>
            </w:r>
          </w:p>
        </w:tc>
        <w:tc>
          <w:tcPr>
            <w:tcW w:w="1456" w:type="dxa"/>
          </w:tcPr>
          <w:p w14:paraId="3E22F5F4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05697E0F" w14:textId="77777777" w:rsidTr="00DB3B11">
        <w:tc>
          <w:tcPr>
            <w:tcW w:w="7434" w:type="dxa"/>
          </w:tcPr>
          <w:p w14:paraId="36F6AA47" w14:textId="77777777" w:rsidR="00F4204E" w:rsidRPr="00996F36" w:rsidRDefault="00F4204E" w:rsidP="00F4204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Integração com sistemas de pagamento (PIX, boleto, cartão de crédito).</w:t>
            </w:r>
          </w:p>
        </w:tc>
        <w:tc>
          <w:tcPr>
            <w:tcW w:w="1456" w:type="dxa"/>
          </w:tcPr>
          <w:p w14:paraId="2FEF2BA1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10C0D070" w14:textId="77777777" w:rsidTr="00DB3B11">
        <w:tc>
          <w:tcPr>
            <w:tcW w:w="7434" w:type="dxa"/>
          </w:tcPr>
          <w:p w14:paraId="3B15AC43" w14:textId="77777777" w:rsidR="00F4204E" w:rsidRPr="00996F36" w:rsidRDefault="00F4204E" w:rsidP="00F4204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Emissão automática de recibos.</w:t>
            </w:r>
          </w:p>
        </w:tc>
        <w:tc>
          <w:tcPr>
            <w:tcW w:w="1456" w:type="dxa"/>
          </w:tcPr>
          <w:p w14:paraId="497E63A0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16DA093B" w14:textId="77777777" w:rsidTr="00DB3B11">
        <w:tc>
          <w:tcPr>
            <w:tcW w:w="7434" w:type="dxa"/>
          </w:tcPr>
          <w:p w14:paraId="50090DF6" w14:textId="77777777" w:rsidR="00F4204E" w:rsidRPr="00996F36" w:rsidRDefault="00F4204E" w:rsidP="00F4204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 xml:space="preserve">Gestão de informações financeiras da confederação (Lei de Incentivo, Recursos Próprios, Lei Piva) </w:t>
            </w:r>
          </w:p>
        </w:tc>
        <w:tc>
          <w:tcPr>
            <w:tcW w:w="1456" w:type="dxa"/>
          </w:tcPr>
          <w:p w14:paraId="066975D4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52CD55A4" w14:textId="77777777" w:rsidTr="00DB3B11">
        <w:tc>
          <w:tcPr>
            <w:tcW w:w="7434" w:type="dxa"/>
          </w:tcPr>
          <w:p w14:paraId="45A0CD49" w14:textId="77777777" w:rsidR="00F4204E" w:rsidRPr="00996F36" w:rsidRDefault="00F4204E" w:rsidP="00F4204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Aplicação para caixinha, conciliação bancária, gestão de centros de custos, e acompanhamento financeiros dos projetos provados do COB;</w:t>
            </w:r>
          </w:p>
        </w:tc>
        <w:tc>
          <w:tcPr>
            <w:tcW w:w="1456" w:type="dxa"/>
          </w:tcPr>
          <w:p w14:paraId="44F053D8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7F4E65FC" w14:textId="77777777" w:rsidTr="00DB3B11">
        <w:tc>
          <w:tcPr>
            <w:tcW w:w="7434" w:type="dxa"/>
            <w:tcBorders>
              <w:bottom w:val="single" w:sz="4" w:space="0" w:color="auto"/>
            </w:tcBorders>
          </w:tcPr>
          <w:p w14:paraId="2A5B5C0E" w14:textId="77777777" w:rsidR="00F4204E" w:rsidRPr="00996F36" w:rsidRDefault="00F4204E" w:rsidP="00F4204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Geração de relatórios contábeis e financeiros (Fluxo de Caixa, DRE).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0DE75902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11ED72DB" w14:textId="77777777" w:rsidTr="00DB3B11">
        <w:tc>
          <w:tcPr>
            <w:tcW w:w="7434" w:type="dxa"/>
            <w:shd w:val="clear" w:color="auto" w:fill="D9D9D9" w:themeFill="background1" w:themeFillShade="D9"/>
          </w:tcPr>
          <w:p w14:paraId="7DAB6097" w14:textId="77777777" w:rsidR="00F4204E" w:rsidRPr="00996F36" w:rsidRDefault="00F4204E" w:rsidP="00DB3B11">
            <w:pPr>
              <w:jc w:val="both"/>
              <w:rPr>
                <w:rFonts w:ascii="Titillium" w:hAnsi="Titillium"/>
                <w:b/>
                <w:bCs/>
              </w:rPr>
            </w:pPr>
            <w:r w:rsidRPr="00996F36">
              <w:rPr>
                <w:rFonts w:ascii="Titillium" w:hAnsi="Titillium"/>
                <w:b/>
                <w:bCs/>
              </w:rPr>
              <w:t>3.5 Plataforma Online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32A57E5D" w14:textId="77777777" w:rsidR="00F4204E" w:rsidRPr="00996F36" w:rsidRDefault="00F4204E" w:rsidP="00DB3B11">
            <w:pPr>
              <w:jc w:val="both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ATENDE?</w:t>
            </w:r>
          </w:p>
        </w:tc>
      </w:tr>
      <w:tr w:rsidR="00F4204E" w:rsidRPr="00996F36" w14:paraId="366DBBDD" w14:textId="77777777" w:rsidTr="00DB3B11">
        <w:tc>
          <w:tcPr>
            <w:tcW w:w="7434" w:type="dxa"/>
          </w:tcPr>
          <w:p w14:paraId="5D5BF075" w14:textId="77777777" w:rsidR="00F4204E" w:rsidRPr="00996F36" w:rsidRDefault="00F4204E" w:rsidP="00F4204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tillium" w:hAnsi="Titillium"/>
                <w:b/>
                <w:bCs/>
              </w:rPr>
            </w:pPr>
            <w:r w:rsidRPr="00996F36">
              <w:rPr>
                <w:rFonts w:ascii="Titillium" w:hAnsi="Titillium"/>
                <w:b/>
                <w:bCs/>
              </w:rPr>
              <w:t>Disponibilização de plataforma web, intuitivo, responsivo, com as principais áreas recomendadas pelo GET e certificação 18-A;</w:t>
            </w:r>
          </w:p>
        </w:tc>
        <w:tc>
          <w:tcPr>
            <w:tcW w:w="1456" w:type="dxa"/>
          </w:tcPr>
          <w:p w14:paraId="2B249B7C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  <w:b/>
                <w:bCs/>
              </w:rPr>
            </w:pPr>
          </w:p>
        </w:tc>
      </w:tr>
      <w:tr w:rsidR="00F4204E" w:rsidRPr="00996F36" w14:paraId="6FB7D38E" w14:textId="77777777" w:rsidTr="00DB3B11">
        <w:tc>
          <w:tcPr>
            <w:tcW w:w="7434" w:type="dxa"/>
          </w:tcPr>
          <w:p w14:paraId="2ACCE2A1" w14:textId="77777777" w:rsidR="00F4204E" w:rsidRPr="00996F36" w:rsidRDefault="00F4204E" w:rsidP="00F4204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Publicação de notícias por categoria</w:t>
            </w:r>
          </w:p>
        </w:tc>
        <w:tc>
          <w:tcPr>
            <w:tcW w:w="1456" w:type="dxa"/>
          </w:tcPr>
          <w:p w14:paraId="111F100F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3691BF52" w14:textId="77777777" w:rsidTr="00DB3B11">
        <w:tc>
          <w:tcPr>
            <w:tcW w:w="7434" w:type="dxa"/>
          </w:tcPr>
          <w:p w14:paraId="7A3BF30E" w14:textId="77777777" w:rsidR="00F4204E" w:rsidRPr="00996F36" w:rsidRDefault="00F4204E" w:rsidP="00F4204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Gerenciamento de ofícios, portarias, circulares e comunicados.</w:t>
            </w:r>
          </w:p>
        </w:tc>
        <w:tc>
          <w:tcPr>
            <w:tcW w:w="1456" w:type="dxa"/>
          </w:tcPr>
          <w:p w14:paraId="68E865AE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439193E2" w14:textId="77777777" w:rsidTr="00DB3B11">
        <w:tc>
          <w:tcPr>
            <w:tcW w:w="7434" w:type="dxa"/>
          </w:tcPr>
          <w:p w14:paraId="106570FA" w14:textId="77777777" w:rsidR="00F4204E" w:rsidRPr="00996F36" w:rsidRDefault="00F4204E" w:rsidP="00F4204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lastRenderedPageBreak/>
              <w:t>Criação de uma Área de transparência institucional.</w:t>
            </w:r>
          </w:p>
        </w:tc>
        <w:tc>
          <w:tcPr>
            <w:tcW w:w="1456" w:type="dxa"/>
          </w:tcPr>
          <w:p w14:paraId="1EABE58A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41344C18" w14:textId="77777777" w:rsidTr="00DB3B11">
        <w:tc>
          <w:tcPr>
            <w:tcW w:w="7434" w:type="dxa"/>
          </w:tcPr>
          <w:p w14:paraId="42E31A25" w14:textId="77777777" w:rsidR="00F4204E" w:rsidRPr="00996F36" w:rsidRDefault="00F4204E" w:rsidP="00F4204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Área pública com o perfil de atletas e resultados integrada ao site institucional.</w:t>
            </w:r>
          </w:p>
        </w:tc>
        <w:tc>
          <w:tcPr>
            <w:tcW w:w="1456" w:type="dxa"/>
          </w:tcPr>
          <w:p w14:paraId="1D6EDD80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3395DC1B" w14:textId="77777777" w:rsidTr="00DB3B11">
        <w:tc>
          <w:tcPr>
            <w:tcW w:w="7434" w:type="dxa"/>
            <w:tcBorders>
              <w:bottom w:val="single" w:sz="4" w:space="0" w:color="auto"/>
            </w:tcBorders>
          </w:tcPr>
          <w:p w14:paraId="0E581155" w14:textId="77777777" w:rsidR="00F4204E" w:rsidRPr="00996F36" w:rsidRDefault="00F4204E" w:rsidP="00F4204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Sistema de Ouvidoria com protocolos e acompanhamento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39DB0D6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7A8C1EED" w14:textId="77777777" w:rsidTr="00DB3B11">
        <w:tc>
          <w:tcPr>
            <w:tcW w:w="7434" w:type="dxa"/>
            <w:shd w:val="clear" w:color="auto" w:fill="D9D9D9" w:themeFill="background1" w:themeFillShade="D9"/>
          </w:tcPr>
          <w:p w14:paraId="1729D3E6" w14:textId="77777777" w:rsidR="00F4204E" w:rsidRPr="00996F36" w:rsidRDefault="00F4204E" w:rsidP="00DB3B11">
            <w:pPr>
              <w:jc w:val="both"/>
              <w:rPr>
                <w:rFonts w:ascii="Titillium" w:hAnsi="Titillium"/>
                <w:b/>
                <w:bCs/>
              </w:rPr>
            </w:pPr>
            <w:r w:rsidRPr="00996F36">
              <w:rPr>
                <w:rFonts w:ascii="Titillium" w:hAnsi="Titillium"/>
                <w:b/>
                <w:bCs/>
              </w:rPr>
              <w:t>3.6 Suporte Técnico e Treinamento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3AB2DB19" w14:textId="77777777" w:rsidR="00F4204E" w:rsidRPr="00996F36" w:rsidRDefault="00F4204E" w:rsidP="00DB3B11">
            <w:pPr>
              <w:jc w:val="both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ATENDE?</w:t>
            </w:r>
          </w:p>
        </w:tc>
      </w:tr>
      <w:tr w:rsidR="00F4204E" w:rsidRPr="00996F36" w14:paraId="25DE8AB2" w14:textId="77777777" w:rsidTr="00DB3B11">
        <w:tc>
          <w:tcPr>
            <w:tcW w:w="7434" w:type="dxa"/>
          </w:tcPr>
          <w:p w14:paraId="6C8B69EC" w14:textId="77777777" w:rsidR="00F4204E" w:rsidRPr="00996F36" w:rsidRDefault="00F4204E" w:rsidP="00F4204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Treinamento para uso do sistema.</w:t>
            </w:r>
          </w:p>
        </w:tc>
        <w:tc>
          <w:tcPr>
            <w:tcW w:w="1456" w:type="dxa"/>
          </w:tcPr>
          <w:p w14:paraId="3B6B7E71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30629AB3" w14:textId="77777777" w:rsidTr="00DB3B11">
        <w:tc>
          <w:tcPr>
            <w:tcW w:w="7434" w:type="dxa"/>
          </w:tcPr>
          <w:p w14:paraId="657B99BE" w14:textId="77777777" w:rsidR="00F4204E" w:rsidRPr="00996F36" w:rsidRDefault="00F4204E" w:rsidP="00F4204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Suporte técnico via e-mail, telefone e sistema de chamados.</w:t>
            </w:r>
          </w:p>
        </w:tc>
        <w:tc>
          <w:tcPr>
            <w:tcW w:w="1456" w:type="dxa"/>
          </w:tcPr>
          <w:p w14:paraId="51C5E803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  <w:tr w:rsidR="00F4204E" w:rsidRPr="00996F36" w14:paraId="329233DD" w14:textId="77777777" w:rsidTr="00DB3B11">
        <w:tc>
          <w:tcPr>
            <w:tcW w:w="7434" w:type="dxa"/>
          </w:tcPr>
          <w:p w14:paraId="51D5962D" w14:textId="77777777" w:rsidR="00F4204E" w:rsidRPr="00996F36" w:rsidRDefault="00F4204E" w:rsidP="00F4204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tillium" w:hAnsi="Titillium"/>
              </w:rPr>
            </w:pPr>
            <w:r w:rsidRPr="00996F36">
              <w:rPr>
                <w:rFonts w:ascii="Titillium" w:hAnsi="Titillium"/>
              </w:rPr>
              <w:t>Atualizações constantes e melhorias contínuas.</w:t>
            </w:r>
          </w:p>
        </w:tc>
        <w:tc>
          <w:tcPr>
            <w:tcW w:w="1456" w:type="dxa"/>
          </w:tcPr>
          <w:p w14:paraId="09EF0B53" w14:textId="77777777" w:rsidR="00F4204E" w:rsidRPr="00996F36" w:rsidRDefault="00F4204E" w:rsidP="00DB3B11">
            <w:pPr>
              <w:ind w:left="360"/>
              <w:jc w:val="both"/>
              <w:rPr>
                <w:rFonts w:ascii="Titillium" w:hAnsi="Titillium"/>
              </w:rPr>
            </w:pPr>
          </w:p>
        </w:tc>
      </w:tr>
    </w:tbl>
    <w:p w14:paraId="2DDC6E6B" w14:textId="77777777" w:rsidR="00F4204E" w:rsidRPr="00C2200B" w:rsidRDefault="00F4204E" w:rsidP="00F4204E">
      <w:pPr>
        <w:spacing w:after="0" w:line="240" w:lineRule="auto"/>
        <w:ind w:left="720"/>
        <w:jc w:val="both"/>
        <w:rPr>
          <w:rFonts w:ascii="Titillium" w:hAnsi="Titillium"/>
        </w:rPr>
      </w:pPr>
    </w:p>
    <w:p w14:paraId="7C84BD22" w14:textId="77777777" w:rsidR="00F4204E" w:rsidRDefault="00F4204E" w:rsidP="00F4204E">
      <w:pPr>
        <w:spacing w:after="0" w:line="240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>DADOS DO OFERTANTE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2845"/>
        <w:gridCol w:w="3382"/>
      </w:tblGrid>
      <w:tr w:rsidR="00F4204E" w:rsidRPr="008F69DF" w14:paraId="66B2DA28" w14:textId="77777777" w:rsidTr="00DB3B11">
        <w:trPr>
          <w:trHeight w:hRule="exact" w:val="28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BF62" w14:textId="77777777" w:rsidR="00F4204E" w:rsidRPr="009D0989" w:rsidRDefault="00F4204E" w:rsidP="00DB3B11">
            <w:pPr>
              <w:rPr>
                <w:b/>
              </w:rPr>
            </w:pPr>
            <w:r w:rsidRPr="008F69DF">
              <w:t>Razão Social:</w:t>
            </w:r>
            <w:r>
              <w:t xml:space="preserve"> </w:t>
            </w:r>
          </w:p>
        </w:tc>
      </w:tr>
      <w:tr w:rsidR="00F4204E" w:rsidRPr="008F69DF" w14:paraId="1311B147" w14:textId="77777777" w:rsidTr="00DB3B11">
        <w:trPr>
          <w:trHeight w:hRule="exact" w:val="284"/>
        </w:trPr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681C46" w14:textId="77777777" w:rsidR="00F4204E" w:rsidRPr="008F69DF" w:rsidRDefault="00F4204E" w:rsidP="00DB3B11">
            <w:r w:rsidRPr="008F69DF">
              <w:t xml:space="preserve">CNPJ: </w:t>
            </w:r>
          </w:p>
        </w:tc>
      </w:tr>
      <w:tr w:rsidR="00F4204E" w:rsidRPr="008F69DF" w14:paraId="02DE67CB" w14:textId="77777777" w:rsidTr="00DB3B11">
        <w:trPr>
          <w:trHeight w:hRule="exact" w:val="284"/>
        </w:trPr>
        <w:tc>
          <w:tcPr>
            <w:tcW w:w="9072" w:type="dxa"/>
            <w:gridSpan w:val="3"/>
            <w:shd w:val="clear" w:color="auto" w:fill="auto"/>
          </w:tcPr>
          <w:p w14:paraId="28CAB069" w14:textId="77777777" w:rsidR="00F4204E" w:rsidRPr="008F69DF" w:rsidRDefault="00F4204E" w:rsidP="00DB3B11">
            <w:r w:rsidRPr="008F69DF">
              <w:t xml:space="preserve">Endereço da sede: </w:t>
            </w:r>
          </w:p>
        </w:tc>
      </w:tr>
      <w:tr w:rsidR="00F4204E" w:rsidRPr="008F69DF" w14:paraId="71A78405" w14:textId="77777777" w:rsidTr="00DB3B11">
        <w:trPr>
          <w:trHeight w:hRule="exact" w:val="284"/>
        </w:trPr>
        <w:tc>
          <w:tcPr>
            <w:tcW w:w="2845" w:type="dxa"/>
            <w:shd w:val="clear" w:color="auto" w:fill="auto"/>
          </w:tcPr>
          <w:p w14:paraId="29407A57" w14:textId="77777777" w:rsidR="00F4204E" w:rsidRPr="008F69DF" w:rsidRDefault="00F4204E" w:rsidP="00DB3B11">
            <w:r w:rsidRPr="008F69DF">
              <w:t xml:space="preserve">Cidade: </w:t>
            </w:r>
          </w:p>
        </w:tc>
        <w:tc>
          <w:tcPr>
            <w:tcW w:w="2845" w:type="dxa"/>
            <w:shd w:val="clear" w:color="auto" w:fill="auto"/>
          </w:tcPr>
          <w:p w14:paraId="29A219CD" w14:textId="77777777" w:rsidR="00F4204E" w:rsidRPr="008F69DF" w:rsidRDefault="00F4204E" w:rsidP="00DB3B11">
            <w:r w:rsidRPr="008F69DF">
              <w:t xml:space="preserve">Estado: </w:t>
            </w:r>
          </w:p>
        </w:tc>
        <w:tc>
          <w:tcPr>
            <w:tcW w:w="3382" w:type="dxa"/>
            <w:shd w:val="clear" w:color="auto" w:fill="auto"/>
          </w:tcPr>
          <w:p w14:paraId="4AC48ECF" w14:textId="77777777" w:rsidR="00F4204E" w:rsidRPr="008F69DF" w:rsidRDefault="00F4204E" w:rsidP="00DB3B11">
            <w:r w:rsidRPr="008F69DF">
              <w:t xml:space="preserve">CEP: </w:t>
            </w:r>
          </w:p>
        </w:tc>
      </w:tr>
      <w:tr w:rsidR="00F4204E" w:rsidRPr="008F69DF" w14:paraId="5F308E02" w14:textId="77777777" w:rsidTr="00DB3B11">
        <w:trPr>
          <w:trHeight w:hRule="exact" w:val="284"/>
        </w:trPr>
        <w:tc>
          <w:tcPr>
            <w:tcW w:w="9072" w:type="dxa"/>
            <w:gridSpan w:val="3"/>
            <w:shd w:val="clear" w:color="auto" w:fill="auto"/>
          </w:tcPr>
          <w:p w14:paraId="4280B871" w14:textId="77777777" w:rsidR="00F4204E" w:rsidRPr="008F69DF" w:rsidRDefault="00F4204E" w:rsidP="00DB3B11">
            <w:r w:rsidRPr="008F69DF">
              <w:t xml:space="preserve">Representante Legal: </w:t>
            </w:r>
          </w:p>
        </w:tc>
      </w:tr>
      <w:tr w:rsidR="00F4204E" w:rsidRPr="008F69DF" w14:paraId="6A96F771" w14:textId="77777777" w:rsidTr="00DB3B11">
        <w:trPr>
          <w:trHeight w:hRule="exact" w:val="284"/>
        </w:trPr>
        <w:tc>
          <w:tcPr>
            <w:tcW w:w="9072" w:type="dxa"/>
            <w:gridSpan w:val="3"/>
            <w:shd w:val="clear" w:color="auto" w:fill="auto"/>
          </w:tcPr>
          <w:p w14:paraId="64C4BD17" w14:textId="77777777" w:rsidR="00F4204E" w:rsidRPr="008F69DF" w:rsidRDefault="00F4204E" w:rsidP="00DB3B11">
            <w:r w:rsidRPr="008F69DF">
              <w:t>CPF</w:t>
            </w:r>
            <w:r>
              <w:t>:</w:t>
            </w:r>
          </w:p>
        </w:tc>
      </w:tr>
      <w:tr w:rsidR="00F4204E" w:rsidRPr="008F69DF" w14:paraId="4FEF63DA" w14:textId="77777777" w:rsidTr="00DB3B11">
        <w:trPr>
          <w:trHeight w:hRule="exact" w:val="284"/>
        </w:trPr>
        <w:tc>
          <w:tcPr>
            <w:tcW w:w="9072" w:type="dxa"/>
            <w:gridSpan w:val="3"/>
            <w:shd w:val="clear" w:color="auto" w:fill="auto"/>
          </w:tcPr>
          <w:p w14:paraId="3C9F8CF5" w14:textId="77777777" w:rsidR="00F4204E" w:rsidRPr="008F69DF" w:rsidRDefault="00F4204E" w:rsidP="00DB3B11">
            <w:r w:rsidRPr="008F69DF">
              <w:t xml:space="preserve">RG: </w:t>
            </w:r>
          </w:p>
        </w:tc>
      </w:tr>
      <w:tr w:rsidR="00F4204E" w:rsidRPr="008F69DF" w14:paraId="1852D797" w14:textId="77777777" w:rsidTr="00DB3B11">
        <w:trPr>
          <w:trHeight w:hRule="exact" w:val="284"/>
        </w:trPr>
        <w:tc>
          <w:tcPr>
            <w:tcW w:w="9072" w:type="dxa"/>
            <w:gridSpan w:val="3"/>
            <w:shd w:val="clear" w:color="auto" w:fill="auto"/>
          </w:tcPr>
          <w:p w14:paraId="2DD67BA9" w14:textId="77777777" w:rsidR="00F4204E" w:rsidRPr="008F69DF" w:rsidRDefault="00F4204E" w:rsidP="00DB3B11">
            <w:r w:rsidRPr="008F69DF">
              <w:t xml:space="preserve">E-mail: </w:t>
            </w:r>
          </w:p>
        </w:tc>
      </w:tr>
      <w:tr w:rsidR="00F4204E" w:rsidRPr="008F69DF" w14:paraId="63321EC3" w14:textId="77777777" w:rsidTr="00DB3B11">
        <w:trPr>
          <w:trHeight w:hRule="exact" w:val="284"/>
        </w:trPr>
        <w:tc>
          <w:tcPr>
            <w:tcW w:w="9072" w:type="dxa"/>
            <w:gridSpan w:val="3"/>
            <w:shd w:val="clear" w:color="auto" w:fill="auto"/>
          </w:tcPr>
          <w:p w14:paraId="3D25837D" w14:textId="77777777" w:rsidR="00F4204E" w:rsidRPr="008F69DF" w:rsidRDefault="00F4204E" w:rsidP="00DB3B11">
            <w:r w:rsidRPr="008F69DF">
              <w:t xml:space="preserve">Telefone de contato: </w:t>
            </w:r>
          </w:p>
        </w:tc>
      </w:tr>
    </w:tbl>
    <w:p w14:paraId="14D2FC34" w14:textId="77777777" w:rsidR="00F4204E" w:rsidRDefault="00F4204E" w:rsidP="00F4204E">
      <w:pPr>
        <w:spacing w:after="0" w:line="240" w:lineRule="auto"/>
        <w:jc w:val="both"/>
        <w:rPr>
          <w:rFonts w:ascii="Titillium" w:hAnsi="Titillium"/>
        </w:rPr>
      </w:pPr>
    </w:p>
    <w:p w14:paraId="7D2216CD" w14:textId="77777777" w:rsidR="00F4204E" w:rsidRDefault="00F4204E" w:rsidP="00F4204E">
      <w:pPr>
        <w:spacing w:after="0" w:line="240" w:lineRule="auto"/>
        <w:jc w:val="both"/>
        <w:rPr>
          <w:rFonts w:ascii="Titillium" w:hAnsi="Titillium"/>
        </w:rPr>
      </w:pPr>
    </w:p>
    <w:p w14:paraId="14546175" w14:textId="77777777" w:rsidR="005C6F84" w:rsidRDefault="005C6F84"/>
    <w:sectPr w:rsidR="005C6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A573F"/>
    <w:multiLevelType w:val="multilevel"/>
    <w:tmpl w:val="65FC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90827"/>
    <w:multiLevelType w:val="hybridMultilevel"/>
    <w:tmpl w:val="C9AEB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E3BA4"/>
    <w:multiLevelType w:val="multilevel"/>
    <w:tmpl w:val="86E2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B7AF0"/>
    <w:multiLevelType w:val="multilevel"/>
    <w:tmpl w:val="25FE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6143F"/>
    <w:multiLevelType w:val="multilevel"/>
    <w:tmpl w:val="E1FC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621E4"/>
    <w:multiLevelType w:val="multilevel"/>
    <w:tmpl w:val="D7B0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96C31"/>
    <w:multiLevelType w:val="hybridMultilevel"/>
    <w:tmpl w:val="B3C28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E3C28"/>
    <w:multiLevelType w:val="multilevel"/>
    <w:tmpl w:val="F3BC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516DA"/>
    <w:multiLevelType w:val="hybridMultilevel"/>
    <w:tmpl w:val="9F482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07530">
    <w:abstractNumId w:val="3"/>
  </w:num>
  <w:num w:numId="2" w16cid:durableId="1695882797">
    <w:abstractNumId w:val="4"/>
  </w:num>
  <w:num w:numId="3" w16cid:durableId="1874416339">
    <w:abstractNumId w:val="5"/>
  </w:num>
  <w:num w:numId="4" w16cid:durableId="266892108">
    <w:abstractNumId w:val="2"/>
  </w:num>
  <w:num w:numId="5" w16cid:durableId="1095396100">
    <w:abstractNumId w:val="7"/>
  </w:num>
  <w:num w:numId="6" w16cid:durableId="1181315706">
    <w:abstractNumId w:val="0"/>
  </w:num>
  <w:num w:numId="7" w16cid:durableId="1509907736">
    <w:abstractNumId w:val="1"/>
  </w:num>
  <w:num w:numId="8" w16cid:durableId="1638224216">
    <w:abstractNumId w:val="6"/>
  </w:num>
  <w:num w:numId="9" w16cid:durableId="15523022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4E"/>
    <w:rsid w:val="000B4804"/>
    <w:rsid w:val="00120AB3"/>
    <w:rsid w:val="002933E1"/>
    <w:rsid w:val="005C6F84"/>
    <w:rsid w:val="00A62153"/>
    <w:rsid w:val="00CE0723"/>
    <w:rsid w:val="00F4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E46A"/>
  <w15:chartTrackingRefBased/>
  <w15:docId w15:val="{744BF7F9-B844-40C6-BE38-49E056BF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04E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42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2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2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2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2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2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2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2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2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2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2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2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20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20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20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20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20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20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2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2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2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2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2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20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20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20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2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20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204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F420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Reis</dc:creator>
  <cp:keywords/>
  <dc:description/>
  <cp:lastModifiedBy>Daniel Reis</cp:lastModifiedBy>
  <cp:revision>1</cp:revision>
  <dcterms:created xsi:type="dcterms:W3CDTF">2025-06-04T01:10:00Z</dcterms:created>
  <dcterms:modified xsi:type="dcterms:W3CDTF">2025-06-04T01:11:00Z</dcterms:modified>
</cp:coreProperties>
</file>